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A0" w:rsidRPr="003D22A0" w:rsidRDefault="003D22A0" w:rsidP="003D22A0">
      <w:pPr>
        <w:pStyle w:val="1"/>
        <w:rPr>
          <w:rFonts w:ascii="Arial" w:hAnsi="Arial" w:cs="Arial"/>
          <w:color w:val="FF0000"/>
          <w:sz w:val="36"/>
          <w:szCs w:val="36"/>
        </w:rPr>
      </w:pPr>
      <w:r w:rsidRPr="003D22A0">
        <w:rPr>
          <w:rFonts w:ascii="Arial" w:hAnsi="Arial" w:cs="Arial"/>
          <w:color w:val="FF0000"/>
          <w:sz w:val="36"/>
          <w:szCs w:val="36"/>
        </w:rPr>
        <w:t>Культура в XVI веке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духовную культуру XVI в., как и прежде, определяющее значение оказывала церковь, ее учения и догмы, основанные на религиозном мировидении. Однако духовная культура, особенно народных масс, не была свободной от языческо-христианских или даже языческих представлений. Это проявлялось в традиционных обрядах и празднествах.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 w:rsidRPr="003D22A0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Фольклор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Фольклор XVI в. отличается от предыдущего как по типу, так и по содержанию. Наряду с бытованием жанров прежних эпох (былин, сказок, пословиц, обрядовых песен и т.д.), в XVI в. расцветает жанр исторической песни. Большое распространение имели и исторические предания. Песни и предания обычно посвящались выдающимся событиям того времени - взятию Казани, походу в Сибирь, войнам на Западе, либо выдающимся личностям - Ивану Грозному, Ермаку Тимофеевичу.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исторической песне о походе на Казань воспевается умение русских воинов-пушкарей, устроивших "хитрый" подкоп под городские стены. Как умный правитель и полководец изображается в ней сам Иван Грозный. Для его фольклорного образа характерна идеализация. Так, в одной из песен народ горько оплакивает его как народного заступника: "Ты восстань, восстань, ты, наш православный царь... Царь Иван Васильевич, ты наш батюшка!". Однако в фольклоре отразились и другие черты его: жестокость, властность, безжалостность. В этой связи характерны новгородские и псковские песни и предания. В одной из песен царевич Иван напоминает отцу: "А которой улицей ты ехал, батюшка, всех сек, и колол, и на кол садил".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песнях о завоевании Сибири, бытовавших в основном среди казачества, главным героем является Ермак Тимофеевич - удалой и смелый атаман вольных людей, народный вожак. В его образе соединились черты героических богатырей русского эпоса с чертами народных предводителей, боровшихся против социальной несправедливости.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Интересны песни о героической обороне Пскова во время Ливонской войны. Потерпев поражение, польский король Стефан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Баторий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зарекается от своего имени и от имени своих детей, внуков и правнуков когда-либо нападать на Русь.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Распространенной во времена Ивана Грозного была песня о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Кострюке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ней рассказывается о победе незнатного русского человека ("мужика-деревенщины") над князем-иностранцем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Кострюком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хваставшимся своей силой, но ставшим посмешищем для всего народа.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 w:rsidRPr="003D22A0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Публицистика XVI в.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Объединительные процессы и усиление позиций Русского государства в Европе поставили перед обществом злободневные вопросы о происхождении княжеской </w:t>
      </w: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власти на Руси и о месте и роли Руси среди других государств прежде и теперь. Наиболее яркое выражение они нашли в публицистических произведениях.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первой четверти XVI в. возникло "Сказание о князьях владимирских", которое в отличие от "Повести временных лет" выводило происхождение русской княжеской династии от римского императора Августа. В одну из подчиненных ему областей на берега Вислы он якобы послал своего брата Пруса, который и основал род легендарного Рюрика. Один из наследников Августа, Пруса и Рюрика - древнерусский князь Владимир Мономах получил от византийского императора символы царской власти: шапку-венец, драгоценные бармы-оплечья и другие дары. С той поры этим венцом и венчались все последующие русские князья. Таким образом, обе легенды - и о происхождении княжеской власти от римского императора, и о получении царских регалий из Константинополя - имели своей целью укрепить авторитет власти на Руси, обосновывали стремление возвратить древнерусские земли, находящиеся под властью Польши и Литвы.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посланиях игумена псковского Елеазарова монастыря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Филофея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(около 1510 г.) выдвигалась идея "Москва - третий Рим". В его изложении история выступает как процесс смены трех мировых царств. Первые два Рима - собственно Рим и Константинополь - погибли за измену их православию. Теперь их место заняла Москва. Если же и Москва впадет в грехи, ей не последует четвертый Рим просто потому, что нигде в мире нет больше православного государства. Следовательно, мысль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Филофея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должна приниматься не как претензия Русского государства на мировое господство или мессианство, но в смысле большой ответственности Руси за дальнейшее существование мира. Не достижение мировой власти, а объединение всех русских земель под главенством Москвы является основной идеей посланий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Филофея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Другими темами публицистических посланий, отражающими общественное развитие, стали вопросы о власти царя и вообще об устройстве Русского государства.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конце 40 - начале 50-х годов XVI в. пишет свои челобитные Ивану IV Иван Семенович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(возможно, вымышленная личность). Для изложения своих взглядов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пользуется своеобразным литературным приемом. Он рисует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несуществовавшего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идеального монарха -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Махмет-Салтана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турецкого, который, сосредоточив в своих руках всю власть, сумел тем не менее установить в своем государстве справедливые отношения и твердый правопорядок. В своей политике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Махмет-Салтан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опирался на "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воинников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". За усердную службу он хорошо оплачивал своих воинов из казны, в которую стекались все доходы его царства.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Турецкому султану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противопоставляет византийского "царя" Константина, который "вельможам своим волю дал". Они же отстранили его от власти и злоупотреблениями довели страну до гибели.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Поэтому образцом для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Пересветова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выступал сильный правитель, но не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самовластец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ибо кроме прав у него были и обязанности перед "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воинниками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", которыми он и был "силен и славен".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следовательно, обращал внимание на дворянство как государственную опору, а боярство обвинял в трусости и недостатке служебного рвения. Стремясь к усилению военной мощи,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Пересветов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выступал против института холопства, так как рабы, понятно, воины плохие. "Которая земля порабощена, - писал он, - в той земле все зло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сотворяется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". Такова </w:t>
      </w: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 общих чертах программа государственного устройства одного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нз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публицистов того времени.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Яростный спор по этим же проблемам мы наблюдаем в знаменитой переписке (1564-1577) Ивана Грозного с князем Андреем Курбским - одним из его сторонников в 50-е годы. Бежав с началом опричнины за рубеж, Курбский прислал царю послание, обвиняя его в тирании и жестокости. Грозный ответил. Вся переписка составляет два послания царя и три князя, которым был написан также памфлет "История о великом князе Московском". Обоих авторов отличает широкая образованность: они знали античность, историю Рима, Византии и Руси, Библию и богословскую литературу. Оба обладали незаурядным литературным талантом.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Общим у авторов было то, что они выступали за крепкое государство и сильную царскую власть. Политическим идеалом Курбского при этом являлась деятельность Избранной Рады. К управлению государством, по его мысли, необходимо привлекать "мудрых советников" и даже "всенародных человек". Следовательно, Курбский выступал за монархию, но ограниченную. Царь Иван же истинной монархией считал только монархию с неограниченной властью. Это он и доказывал - в данном случае с пером в руках. Аргументами служат прежде всего факты из прежней истории, согласно которым "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самодержавство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 существует в Русской земле "божиим соизволением" "издревле" - с князя Владимира Святославовича. Однако в малолетство Ивана IV "бояре и вельможи" "от бога </w:t>
      </w:r>
      <w:proofErr w:type="gram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державу</w:t>
      </w:r>
      <w:proofErr w:type="gram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данную мне от прародителей наших под свою власть отторгли". Это, по мнению царя, грозило гибелью государству. Теперь настало время вернуть самодержавную власть, при которой не царь действует для блага подданных, а обязанностью их является верная служба государю. Все жители страны - от холопа до князя - это государевы холопы. "А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жаловати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есмя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своих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холопей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вольны, а и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казнити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вольны же", - лаконично формулировал царь Иван свой принцип неограниченного правления.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Борьба с церковью нашла свое выражение в таком публицистическом сочинении, как "Беседа Валаамских старцев" (сер. XVI в.). Автор - сторонник сильной церковной власти - выступает против попыток духовенства вмешиваться в государственное управление и против монастырей, захватывающих черные крестьянские земли. Главное его требование - полное уничтожение монастырского землевладения.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 w:rsidRPr="003D22A0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Историко-литературные сочинения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Большая часть грандиозных рукописных историко-литературных трудов связана с деятельностью митрополита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Макария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Им и его сотрудниками к 1554 г. были созданы "Великие Четьи Минеи" - 12-томное собрание всех книг, "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чтомых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 на Руси: житий и поучений, византийских законов и памятников церковного права, повестей и сказаний. Произведения были распределены по тем дням, в которые их рекомендовалось читать.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Другим крупным сочинением стала "Книга степенная царского родословия". В отличие от летописей, где изложение ведется по годам, Степенная книга располагает повествование по "степеням". Каждой степени (а их всего 17) соответствует правление князя (от Владимира до Ивана IV) и митрополита. Этим подчеркивалась идея единства царской и церковной власти.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 середине XVI в. летописцами был подготовлен новый летописный свод, получивший название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Никоновской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летописи (так как один из списков принадлежал в XVII в. патриарху Никону).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Никоновская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летопись вобрала в себя весь предшествующий летописный материал от начала Руси до конца 50-х годов XVI в. Замечательной чертой этого свода является наличие в нем некоторых данных, относящихся в основном к древнему периоду русской истории, которые не встречаются в других летописях. Авторы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Никоновской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летописи сделали также попытку не простого изложения материала, а объяснения тех или иных событий.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70-х годах XVI в. было закончено составление иллюстрированной всемирной истории - Лицевого летописного свода. Он представлял собой 12 фолиантов,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иэ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до нас дошли 10. В сохранившихся томах имеется свыше 16 тыс. миниатюр. В лицевом своде всемирная история излагается как смена великих царств - Древнееврейского, Вавилонского, Персидского, Александра Македонского, Римского, Византийского. Закономерным итогом этого процесса представляется образование Русского государства.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Летописи XVI в. представлены также и локальными сочинениями. Например, "Летописец начала царства" описывает первые годы правления Ивана Грозного. В 60-х годах составляется "История о Казанском царстве", которая доказывала историческую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сппаведливость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завоевания Казанского ханства. К концу XVI в. относится и одна из редакций "Сказания о начале Москвы".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литературе бытового жанра относится такое оригинальное произведение, как "Домострой", автором которого, вероятно, был протопоп Сильвестр. "Домострой" означает "домоводство", поэтому в нем можно найти самые различные советы и наставления: как воспитывать детей и обращаться с женой, хранить запасы и просушивать белье, когда покупать товары на рынке и как принимать гостей. Наставления, вместе с тем, освящаются авторитетом бога и священного писания.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 w:rsidRPr="003D22A0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Грамотность и просвещение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Уровень грамотности среди населения был различным. Элементарная грамотность была распространена у посадских людей и крестьян. У последних уровень грамотности достигал 15%. Более высока была грамотность в среде духовенства, купечества, знати.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Обучение грамоте производилось в частных школах, которые обычно содержали люди духовного звания. За прохождение курса платили "кашей да гривной денег". В ряде школ, кроме обучения непосредственно грамоте и чтению, изучали грамматику и арифметику. В связи с этим появляются первые учебники по грамматике ("Беседа об учении грамоте") и арифметике ("Цифирная счетная мудрость").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развитии просвещения в XVI в. свидетельствует также факт создания при крупных монастырях библиотек. Большая библиотека (не найденная до сих пор) была в царском дворце. Рукописные книги принадлежали частным лицам различных категорий, в том числе простым горожанам и крестьянам.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 w:rsidRPr="003D22A0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Начало книгопечатания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Важнейшим достижением в области культуры стало начало книгопечатания. Первая типография в России начала работать около 1553 г., но имена первых мастеров нам неизвестны. В 1563 г. в Москве по царскому повелению и на государственные средства сооружается типография. Создателями и руководителями Печатного двора (размещался невдалеке от Кремля на Никольской улице) были дьяк одной </w:t>
      </w:r>
      <w:proofErr w:type="gram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кремлевских церквей Иван Федоров</w:t>
      </w:r>
      <w:proofErr w:type="gram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белорусский мастер Петр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Мстиславец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 марте 1564 г. вышла первая книга "Апостол", хорошо исполненная в техническом отношении. Она отличалась четким красивым шрифтом, многочисленными заставками, была также выполнена гравюра "апостол Лука" и т.д. В 1565 г. вышли два издания другой книги - "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Часовник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". Иван Федоров был не только мастером-типографом, но и редактором: исправлял переводы книг "Священного писания", приближал их язык к языку своего времени. Однако вскоре он и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Мстиславец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вынуждены были покинуть Москву. Причины этого до конца остаются невыясненными. Обосновавшись на Украине (во Львове и Остроге), они в последующие годы снова выпускают ряд крупных изданий: вновь "Апостол", а также "Библию". Во Львове была напечатана и первая книга светского содержания: букварь с грамматикой (1574).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прекратилось издательское дело и в России: во второй половине XVI в. работали типографии в Москве и в Александровской слободе. Всего было издано 20 книг, некоторые тиражами до тысячи экземпляров.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Впрочем, печатная книга даже в XVII в. не вытеснила рукописную, потому что печаталась в основном богослужебная литература, летописи, сказания и даже Жития святых по-прежнему переписывались от руки.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ru-RU"/>
        </w:rPr>
        <w:t>Архитектура</w:t>
      </w:r>
    </w:p>
    <w:p w:rsidR="003D22A0" w:rsidRPr="003D22A0" w:rsidRDefault="003D22A0" w:rsidP="003D22A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 </w:t>
      </w:r>
      <w:hyperlink r:id="rId4" w:tooltip="Иван Грозный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Иваном Грозным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титула «царя» и превращение России в царство было очередным этапом развития русского государства и русской архитектуры в том числе. В архитектуре данного периода продолжаются прошлые традиции, при этом в каменную архитектуру из деревянной проникает форма «</w:t>
      </w:r>
      <w:hyperlink r:id="rId5" w:tooltip="Шатёр (архитектура)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шатра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 что является заметным отличием в архитектуре нового периода.</w:t>
      </w:r>
    </w:p>
    <w:p w:rsidR="003D22A0" w:rsidRPr="003D22A0" w:rsidRDefault="003D22A0" w:rsidP="003D22A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Самым известным памятником архитектуры данного периода является </w:t>
      </w:r>
      <w:hyperlink r:id="rId6" w:tooltip="Храм Василия Блаженного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Храм Василия Блаженного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строительство которого продолжалось в 1554—1560 годах. Собор входит в </w:t>
      </w:r>
      <w:hyperlink r:id="rId7" w:tooltip="Список объектов Всемирного наследия ЮНЕСКО в России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Список объектов Всемирного наследия ЮНЕСКО в России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Храм Василия Блаженного, или Покровский Собор, был построен по приказу Ивана Грозного в память о взятии Казани, автором проекта, по одной из версий, стал псковский зодчий </w:t>
      </w:r>
      <w:hyperlink r:id="rId8" w:tooltip="Постник Яковлев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Постник Яковлев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Памятник является одним из самых узнаваемых символов Москвы и России.</w:t>
      </w:r>
    </w:p>
    <w:p w:rsidR="003D22A0" w:rsidRPr="003D22A0" w:rsidRDefault="003D22A0" w:rsidP="003D22A0">
      <w:pPr>
        <w:shd w:val="clear" w:color="auto" w:fill="F9F9F9"/>
        <w:spacing w:after="0" w:line="315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C75BD25" wp14:editId="0BE614BA">
            <wp:simplePos x="0" y="0"/>
            <wp:positionH relativeFrom="column">
              <wp:posOffset>1607820</wp:posOffset>
            </wp:positionH>
            <wp:positionV relativeFrom="paragraph">
              <wp:posOffset>152400</wp:posOffset>
            </wp:positionV>
            <wp:extent cx="4213860" cy="3168015"/>
            <wp:effectExtent l="152400" t="152400" r="358140" b="356235"/>
            <wp:wrapThrough wrapText="bothSides">
              <wp:wrapPolygon edited="0">
                <wp:start x="391" y="-1039"/>
                <wp:lineTo x="-781" y="-779"/>
                <wp:lineTo x="-684" y="22210"/>
                <wp:lineTo x="586" y="23639"/>
                <wp:lineTo x="684" y="23899"/>
                <wp:lineTo x="21873" y="23899"/>
                <wp:lineTo x="21971" y="23639"/>
                <wp:lineTo x="23241" y="22210"/>
                <wp:lineTo x="23338" y="1299"/>
                <wp:lineTo x="22166" y="-649"/>
                <wp:lineTo x="22069" y="-1039"/>
                <wp:lineTo x="391" y="-1039"/>
              </wp:wrapPolygon>
            </wp:wrapThrough>
            <wp:docPr id="2" name="Рисунок 2" descr="http://upload.wikimedia.org/wikipedia/commons/thumb/e/e4/Sobor_Novodev.jpg/250px-Sobor_Novo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4/Sobor_Novodev.jpg/250px-Sobor_Novodev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168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2A0" w:rsidRPr="003D22A0" w:rsidRDefault="003D22A0" w:rsidP="003D22A0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3D22A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Смоленский собор </w:t>
      </w:r>
      <w:hyperlink r:id="rId11" w:tooltip="Новодевичий монастырь" w:history="1">
        <w:r w:rsidRPr="003D22A0">
          <w:rPr>
            <w:rFonts w:ascii="Arial" w:eastAsia="Times New Roman" w:hAnsi="Arial" w:cs="Arial"/>
            <w:i/>
            <w:color w:val="000000" w:themeColor="text1"/>
            <w:sz w:val="20"/>
            <w:szCs w:val="20"/>
            <w:lang w:eastAsia="ru-RU"/>
          </w:rPr>
          <w:t>Новодевичьего монастыря</w:t>
        </w:r>
      </w:hyperlink>
      <w:r w:rsidRPr="003D22A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 (1524—1598)</w:t>
      </w: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Pr="003D22A0" w:rsidRDefault="003D22A0" w:rsidP="003D22A0">
      <w:pPr>
        <w:shd w:val="clear" w:color="auto" w:fill="F9F9F9"/>
        <w:spacing w:line="336" w:lineRule="atLeast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</w:p>
    <w:p w:rsidR="003D22A0" w:rsidRPr="003D22A0" w:rsidRDefault="003D22A0" w:rsidP="003D22A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Другим известным памятником данного периода является </w:t>
      </w:r>
      <w:hyperlink r:id="rId12" w:tooltip="Церковь Вознесения (Коломенское)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Церковь Вознесения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Коломенском, являющаяся первым каменным </w:t>
      </w:r>
      <w:hyperlink r:id="rId13" w:tooltip="Шатровые храмы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шатровым храмом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 России. Возведена в Коломенском в </w:t>
      </w:r>
      <w:hyperlink r:id="rId14" w:tooltip="1528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1528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</w:t>
      </w:r>
      <w:hyperlink r:id="rId15" w:tooltip="1532 год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1532 годах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(предположительно </w:t>
      </w:r>
      <w:hyperlink r:id="rId16" w:tooltip="Италия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итальянским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архитектором </w:t>
      </w:r>
      <w:hyperlink r:id="rId17" w:tooltip="Петрок Малый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Петром </w:t>
        </w:r>
        <w:proofErr w:type="spellStart"/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Францизском</w:t>
        </w:r>
        <w:proofErr w:type="spellEnd"/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Ганнибалом, по русским летописям Петром Фрязином или </w:t>
        </w:r>
        <w:proofErr w:type="spellStart"/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Петроком</w:t>
        </w:r>
        <w:proofErr w:type="spellEnd"/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Малым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 на правом берегу </w:t>
      </w:r>
      <w:hyperlink r:id="rId18" w:tooltip="Москва (река)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Москвы-реки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храме наряду с шатром были применены </w:t>
      </w:r>
      <w:proofErr w:type="spellStart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пристенные</w:t>
      </w:r>
      <w:proofErr w:type="spellEnd"/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9" w:tooltip="Пилон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пилоны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 позволило построить огромное здание невиданных пропорций, с «летящей» </w:t>
      </w:r>
      <w:hyperlink r:id="rId20" w:tooltip="Архитектоника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архитектоникой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Постройка была осуществлена с размахом и значительными материальными затратами. В истории русского зодчества храм остался произведением, с точки зрения его формального совершенства, единственным и неповторимым.</w:t>
      </w:r>
    </w:p>
    <w:p w:rsidR="003D22A0" w:rsidRPr="003D22A0" w:rsidRDefault="003D22A0" w:rsidP="003D22A0">
      <w:pPr>
        <w:shd w:val="clear" w:color="auto" w:fill="FFFFFF"/>
        <w:spacing w:before="120" w:after="120" w:line="315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Несмотря на развитие каменной шатровой архитектуры, продолжают возводиться и храмы старого типа. По типу Московского Успенского собора с пятью куполами были построены: Смоленский собор </w:t>
      </w:r>
      <w:hyperlink r:id="rId21" w:tooltip="Новодевичий монастырь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Новодевичьего монастыря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(1524—1598), Успенский собор </w:t>
      </w:r>
      <w:hyperlink r:id="rId22" w:tooltip="Троице-Сергиева лавра" w:history="1">
        <w:r w:rsidRPr="003D22A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Троице-Сергиевой лавры</w:t>
        </w:r>
      </w:hyperlink>
      <w:r w:rsidRPr="003D22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(1559—1585).</w:t>
      </w:r>
    </w:p>
    <w:p w:rsidR="003D22A0" w:rsidRPr="003D22A0" w:rsidRDefault="003D22A0" w:rsidP="003D22A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D22A0" w:rsidRDefault="003D22A0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70495" w:rsidRPr="003D22A0" w:rsidRDefault="003D22A0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302112</wp:posOffset>
            </wp:positionH>
            <wp:positionV relativeFrom="paragraph">
              <wp:posOffset>152120</wp:posOffset>
            </wp:positionV>
            <wp:extent cx="3751340" cy="5420904"/>
            <wp:effectExtent l="152400" t="152400" r="363855" b="370840"/>
            <wp:wrapThrough wrapText="bothSides">
              <wp:wrapPolygon edited="0">
                <wp:start x="439" y="-607"/>
                <wp:lineTo x="-878" y="-455"/>
                <wp:lineTo x="-878" y="21939"/>
                <wp:lineTo x="-110" y="22622"/>
                <wp:lineTo x="768" y="23002"/>
                <wp:lineTo x="21940" y="23002"/>
                <wp:lineTo x="22927" y="22622"/>
                <wp:lineTo x="23586" y="21484"/>
                <wp:lineTo x="23586" y="759"/>
                <wp:lineTo x="22269" y="-380"/>
                <wp:lineTo x="22159" y="-607"/>
                <wp:lineTo x="439" y="-607"/>
              </wp:wrapPolygon>
            </wp:wrapThrough>
            <wp:docPr id="3" name="Рисунок 3" descr="C:\Users\Stanly\Desktop\Новая папка (5)\Саша\Проект\Культура\Культура\415px-Kolomenskoe_Ascension_Church_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ly\Desktop\Новая папка (5)\Саша\Проект\Культура\Культура\415px-Kolomenskoe_Ascension_Church_only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340" cy="5420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D22A0">
        <w:rPr>
          <w:rFonts w:ascii="Arial" w:hAnsi="Arial" w:cs="Arial"/>
          <w:i/>
          <w:color w:val="000000" w:themeColor="text1"/>
          <w:sz w:val="20"/>
          <w:szCs w:val="20"/>
        </w:rPr>
        <w:fldChar w:fldCharType="begin"/>
      </w:r>
      <w:r w:rsidRPr="003D22A0">
        <w:rPr>
          <w:rFonts w:ascii="Arial" w:hAnsi="Arial" w:cs="Arial"/>
          <w:i/>
          <w:color w:val="000000" w:themeColor="text1"/>
          <w:sz w:val="20"/>
          <w:szCs w:val="20"/>
        </w:rPr>
        <w:instrText xml:space="preserve"> HYPERLINK "http://ru.wikipedia.org/wiki/%D0%A6%D0%B5%D1%80%D0%BA%D0%BE%D0%B2%D1%8C_%D0%92%D0%BE%D0%B7%D0%BD%D0%B5%D1%81%D0%B5%D0%BD%D0%B8%D1%8F_(%D0%9A%D0%BE%D0%BB%D0%BE%D0%BC%D0%B5%D0%BD%D1%81%D0%BA%D0%BE%D0%B5)" \o "Церковь Вознесения (Коломенское)" </w:instrText>
      </w:r>
      <w:r w:rsidRPr="003D22A0">
        <w:rPr>
          <w:rFonts w:ascii="Arial" w:hAnsi="Arial" w:cs="Arial"/>
          <w:i/>
          <w:color w:val="000000" w:themeColor="text1"/>
          <w:sz w:val="20"/>
          <w:szCs w:val="20"/>
        </w:rPr>
        <w:fldChar w:fldCharType="separate"/>
      </w:r>
      <w:r w:rsidRPr="003D22A0">
        <w:rPr>
          <w:rStyle w:val="a4"/>
          <w:rFonts w:ascii="Arial" w:hAnsi="Arial" w:cs="Arial"/>
          <w:i/>
          <w:color w:val="000000" w:themeColor="text1"/>
          <w:sz w:val="20"/>
          <w:szCs w:val="20"/>
          <w:shd w:val="clear" w:color="auto" w:fill="F9F9F9"/>
        </w:rPr>
        <w:t>Церковь Вознесения</w:t>
      </w:r>
      <w:r w:rsidRPr="003D22A0">
        <w:rPr>
          <w:rFonts w:ascii="Arial" w:hAnsi="Arial" w:cs="Arial"/>
          <w:i/>
          <w:color w:val="000000" w:themeColor="text1"/>
          <w:sz w:val="20"/>
          <w:szCs w:val="20"/>
        </w:rPr>
        <w:fldChar w:fldCharType="end"/>
      </w:r>
      <w:r w:rsidRPr="003D22A0">
        <w:rPr>
          <w:rStyle w:val="apple-converted-space"/>
          <w:rFonts w:ascii="Arial" w:hAnsi="Arial" w:cs="Arial"/>
          <w:i/>
          <w:color w:val="000000" w:themeColor="text1"/>
          <w:sz w:val="20"/>
          <w:szCs w:val="20"/>
          <w:shd w:val="clear" w:color="auto" w:fill="F9F9F9"/>
        </w:rPr>
        <w:t> </w:t>
      </w:r>
      <w:r w:rsidRPr="003D22A0">
        <w:rPr>
          <w:rFonts w:ascii="Arial" w:hAnsi="Arial" w:cs="Arial"/>
          <w:i/>
          <w:color w:val="000000" w:themeColor="text1"/>
          <w:sz w:val="20"/>
          <w:szCs w:val="20"/>
          <w:shd w:val="clear" w:color="auto" w:fill="F9F9F9"/>
        </w:rPr>
        <w:t>в Коломенском</w:t>
      </w:r>
    </w:p>
    <w:sectPr w:rsidR="00E70495" w:rsidRPr="003D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7F"/>
    <w:rsid w:val="003D22A0"/>
    <w:rsid w:val="00A61E7F"/>
    <w:rsid w:val="00E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3EF7-DFFC-4FBB-83E8-4DD1B44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2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2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D22A0"/>
  </w:style>
  <w:style w:type="character" w:styleId="a4">
    <w:name w:val="Hyperlink"/>
    <w:basedOn w:val="a0"/>
    <w:uiPriority w:val="99"/>
    <w:unhideWhenUsed/>
    <w:rsid w:val="003D2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28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7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03418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1%82%D0%BD%D0%B8%D0%BA_%D0%AF%D0%BA%D0%BE%D0%B2%D0%BB%D0%B5%D0%B2" TargetMode="External"/><Relationship Id="rId13" Type="http://schemas.openxmlformats.org/officeDocument/2006/relationships/hyperlink" Target="http://ru.wikipedia.org/wiki/%D0%A8%D0%B0%D1%82%D1%80%D0%BE%D0%B2%D1%8B%D0%B5_%D1%85%D1%80%D0%B0%D0%BC%D1%8B" TargetMode="External"/><Relationship Id="rId18" Type="http://schemas.openxmlformats.org/officeDocument/2006/relationships/hyperlink" Target="http://ru.wikipedia.org/wiki/%D0%9C%D0%BE%D1%81%D0%BA%D0%B2%D0%B0_(%D1%80%D0%B5%D0%BA%D0%B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D%D0%BE%D0%B2%D0%BE%D0%B4%D0%B5%D0%B2%D0%B8%D1%87%D0%B8%D0%B9_%D0%BC%D0%BE%D0%BD%D0%B0%D1%81%D1%82%D1%8B%D1%80%D1%8C" TargetMode="External"/><Relationship Id="rId7" Type="http://schemas.openxmlformats.org/officeDocument/2006/relationships/hyperlink" Target="http://ru.wikipedia.org/wiki/%D0%A1%D0%BF%D0%B8%D1%81%D0%BE%D0%BA_%D0%BE%D0%B1%D1%8A%D0%B5%D0%BA%D1%82%D0%BE%D0%B2_%D0%92%D1%81%D0%B5%D0%BC%D0%B8%D1%80%D0%BD%D0%BE%D0%B3%D0%BE_%D0%BD%D0%B0%D1%81%D0%BB%D0%B5%D0%B4%D0%B8%D1%8F_%D0%AE%D0%9D%D0%95%D0%A1%D0%9A%D0%9E_%D0%B2_%D0%A0%D0%BE%D1%81%D1%81%D0%B8%D0%B8" TargetMode="External"/><Relationship Id="rId12" Type="http://schemas.openxmlformats.org/officeDocument/2006/relationships/hyperlink" Target="http://ru.wikipedia.org/wiki/%D0%A6%D0%B5%D1%80%D0%BA%D0%BE%D0%B2%D1%8C_%D0%92%D0%BE%D0%B7%D0%BD%D0%B5%D1%81%D0%B5%D0%BD%D0%B8%D1%8F_(%D0%9A%D0%BE%D0%BB%D0%BE%D0%BC%D0%B5%D0%BD%D1%81%D0%BA%D0%BE%D0%B5)" TargetMode="External"/><Relationship Id="rId17" Type="http://schemas.openxmlformats.org/officeDocument/2006/relationships/hyperlink" Target="http://ru.wikipedia.org/wiki/%D0%9F%D0%B5%D1%82%D1%80%D0%BE%D0%BA_%D0%9C%D0%B0%D0%BB%D1%8B%D0%B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8%D1%82%D0%B0%D0%BB%D0%B8%D1%8F" TargetMode="External"/><Relationship Id="rId20" Type="http://schemas.openxmlformats.org/officeDocument/2006/relationships/hyperlink" Target="http://ru.wikipedia.org/wiki/%D0%90%D1%80%D1%85%D0%B8%D1%82%D0%B5%D0%BA%D1%82%D0%BE%D0%BD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5%D1%80%D0%B0%D0%BC_%D0%92%D0%B0%D1%81%D0%B8%D0%BB%D0%B8%D1%8F_%D0%91%D0%BB%D0%B0%D0%B6%D0%B5%D0%BD%D0%BD%D0%BE%D0%B3%D0%BE" TargetMode="External"/><Relationship Id="rId11" Type="http://schemas.openxmlformats.org/officeDocument/2006/relationships/hyperlink" Target="http://ru.wikipedia.org/wiki/%D0%9D%D0%BE%D0%B2%D0%BE%D0%B4%D0%B5%D0%B2%D0%B8%D1%87%D0%B8%D0%B9_%D0%BC%D0%BE%D0%BD%D0%B0%D1%81%D1%82%D1%8B%D1%80%D1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8%D0%B0%D1%82%D1%91%D1%80_(%D0%B0%D1%80%D1%85%D0%B8%D1%82%D0%B5%D0%BA%D1%82%D1%83%D1%80%D0%B0)" TargetMode="External"/><Relationship Id="rId15" Type="http://schemas.openxmlformats.org/officeDocument/2006/relationships/hyperlink" Target="http://ru.wikipedia.org/wiki/1532_%D0%B3%D0%BE%D0%B4" TargetMode="External"/><Relationship Id="rId23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hyperlink" Target="http://ru.wikipedia.org/wiki/%D0%9F%D0%B8%D0%BB%D0%BE%D0%BD" TargetMode="External"/><Relationship Id="rId4" Type="http://schemas.openxmlformats.org/officeDocument/2006/relationships/hyperlink" Target="http://ru.wikipedia.org/wiki/%D0%98%D0%B2%D0%B0%D0%BD_%D0%93%D1%80%D0%BE%D0%B7%D0%BD%D1%8B%D0%B9" TargetMode="External"/><Relationship Id="rId9" Type="http://schemas.openxmlformats.org/officeDocument/2006/relationships/hyperlink" Target="http://commons.wikimedia.org/wiki/File:Sobor_Novodev.jpg?uselang=ru" TargetMode="External"/><Relationship Id="rId14" Type="http://schemas.openxmlformats.org/officeDocument/2006/relationships/hyperlink" Target="http://ru.wikipedia.org/wiki/1528" TargetMode="External"/><Relationship Id="rId22" Type="http://schemas.openxmlformats.org/officeDocument/2006/relationships/hyperlink" Target="http://ru.wikipedia.org/wiki/%D0%A2%D1%80%D0%BE%D0%B8%D1%86%D0%B5-%D0%A1%D0%B5%D1%80%D0%B3%D0%B8%D0%B5%D0%B2%D0%B0_%D0%BB%D0%B0%D0%B2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2701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Жаворонко</dc:creator>
  <cp:keywords/>
  <dc:description/>
  <cp:lastModifiedBy>Роман Жаворонко</cp:lastModifiedBy>
  <cp:revision>2</cp:revision>
  <dcterms:created xsi:type="dcterms:W3CDTF">2014-04-09T15:06:00Z</dcterms:created>
  <dcterms:modified xsi:type="dcterms:W3CDTF">2014-04-09T15:12:00Z</dcterms:modified>
</cp:coreProperties>
</file>